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9rp54be7076q" w:id="0"/>
      <w:bookmarkEnd w:id="0"/>
      <w:r w:rsidDel="00000000" w:rsidR="00000000" w:rsidRPr="00000000">
        <w:rPr>
          <w:b w:val="1"/>
          <w:sz w:val="34"/>
          <w:szCs w:val="34"/>
          <w:rtl w:val="1"/>
        </w:rPr>
        <w:t xml:space="preserve">موضوع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العلم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الفلسطيني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فلسطين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بمثابة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المظلة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والوسية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التضحية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شائع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وتوضيح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ومفصل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hhbx6vbzyi9t" w:id="1"/>
      <w:bookmarkEnd w:id="1"/>
      <w:r w:rsidDel="00000000" w:rsidR="00000000" w:rsidRPr="00000000">
        <w:rPr>
          <w:b w:val="1"/>
          <w:sz w:val="34"/>
          <w:szCs w:val="34"/>
          <w:rtl w:val="1"/>
        </w:rPr>
        <w:t xml:space="preserve">مقدمة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موضوع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العلم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الفلسطيني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باستعمالها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لإبراز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غاياتهم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خطوط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متماثلة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ألوان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للأسفل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والأبيض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والأخضر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الزاوية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تمتد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عامودي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أفقي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1964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وتبنيه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1988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auxxxb6t9pid" w:id="2"/>
      <w:bookmarkEnd w:id="2"/>
      <w:r w:rsidDel="00000000" w:rsidR="00000000" w:rsidRPr="00000000">
        <w:rPr>
          <w:b w:val="1"/>
          <w:sz w:val="34"/>
          <w:szCs w:val="34"/>
          <w:rtl w:val="1"/>
        </w:rPr>
        <w:t xml:space="preserve">نبذة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تاريخية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العلم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الفلسطيني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بأغراض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1917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استعمل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للدلالة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1947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حزب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بالاستعانة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1948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لدولتهم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شعبها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ولقد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وأكدت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1964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واعتباره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1988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3in1d61fah5t" w:id="3"/>
      <w:bookmarkEnd w:id="3"/>
      <w:r w:rsidDel="00000000" w:rsidR="00000000" w:rsidRPr="00000000">
        <w:rPr>
          <w:b w:val="1"/>
          <w:sz w:val="34"/>
          <w:szCs w:val="34"/>
          <w:rtl w:val="1"/>
        </w:rPr>
        <w:t xml:space="preserve">رمزية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العلم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الفلسطيني</w:t>
      </w:r>
    </w:p>
    <w:p w:rsidR="00000000" w:rsidDel="00000000" w:rsidP="00000000" w:rsidRDefault="00000000" w:rsidRPr="00000000" w14:paraId="0000000E">
      <w:pPr>
        <w:bidi w:val="1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</w:rPr>
        <w:drawing>
          <wp:inline distB="114300" distT="114300" distL="114300" distR="114300">
            <wp:extent cx="5943600" cy="3467100"/>
            <wp:effectExtent b="0" l="0" r="0" t="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يتكو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ألوان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اللون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الأسود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يدل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البيضاء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اللون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الأبيض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استعمله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لإعلاء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غزوة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للمسلمين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الحاسمة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اللون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الأخضر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الفاطمي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للدلالة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ولائهم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تلحف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بهذا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مهاجر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يثرب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الخفاء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اللون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الأحمر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يرمز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بتضحية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63zp26oy23q" w:id="4"/>
      <w:bookmarkEnd w:id="4"/>
      <w:r w:rsidDel="00000000" w:rsidR="00000000" w:rsidRPr="00000000">
        <w:rPr>
          <w:b w:val="1"/>
          <w:sz w:val="34"/>
          <w:szCs w:val="34"/>
          <w:rtl w:val="1"/>
        </w:rPr>
        <w:t xml:space="preserve">علم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فلسطين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على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مر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التاريخ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فلسطين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bidi w:val="1"/>
        <w:spacing w:after="240" w:before="240" w:lineRule="auto"/>
        <w:ind w:left="720" w:hanging="360"/>
      </w:pPr>
      <w:r w:rsidDel="00000000" w:rsidR="00000000" w:rsidRPr="00000000">
        <w:rPr>
          <w:rtl w:val="1"/>
        </w:rPr>
        <w:t xml:space="preserve">نسخة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فلسطين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فلسطين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1936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4762500" cy="218440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18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bidi w:val="1"/>
        <w:spacing w:after="240" w:before="240" w:lineRule="auto"/>
        <w:ind w:left="720" w:hanging="360"/>
      </w:pPr>
      <w:r w:rsidDel="00000000" w:rsidR="00000000" w:rsidRPr="00000000">
        <w:rPr>
          <w:rtl w:val="1"/>
        </w:rPr>
        <w:t xml:space="preserve">النسخة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استعمالها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فلسطين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4762500" cy="22225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2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bidi w:val="1"/>
        <w:spacing w:after="240" w:before="240" w:lineRule="auto"/>
        <w:ind w:left="720" w:hanging="360"/>
      </w:pP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الواقعة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1948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1964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20955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bidi w:val="1"/>
        <w:spacing w:after="240" w:before="240" w:lineRule="auto"/>
        <w:ind w:left="720" w:hanging="360"/>
      </w:pP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بمثلث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أقصر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استعملته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الثمانينات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4762500" cy="2184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18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f54pceqg012t" w:id="5"/>
      <w:bookmarkEnd w:id="5"/>
      <w:r w:rsidDel="00000000" w:rsidR="00000000" w:rsidRPr="00000000">
        <w:rPr>
          <w:b w:val="1"/>
          <w:sz w:val="34"/>
          <w:szCs w:val="34"/>
          <w:rtl w:val="1"/>
        </w:rPr>
        <w:t xml:space="preserve">حظر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العلم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الفلسطيني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1967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إسرائيل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فلسطين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تفاهمات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أوسلو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1993.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المؤسف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الأحيان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4x8wh5tg5m2y" w:id="6"/>
      <w:bookmarkEnd w:id="6"/>
      <w:r w:rsidDel="00000000" w:rsidR="00000000" w:rsidRPr="00000000">
        <w:rPr>
          <w:b w:val="1"/>
          <w:sz w:val="34"/>
          <w:szCs w:val="34"/>
          <w:rtl w:val="1"/>
        </w:rPr>
        <w:t xml:space="preserve">أماكن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رفع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العلم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الفلسطيني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واعتبرته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بمثابة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bidi w:val="1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cnf6lx80eltj" w:id="7"/>
      <w:bookmarkEnd w:id="7"/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علم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الانتداب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البريطاني</w:t>
      </w:r>
    </w:p>
    <w:p w:rsidR="00000000" w:rsidDel="00000000" w:rsidP="00000000" w:rsidRDefault="00000000" w:rsidRPr="00000000" w14:paraId="00000023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5943600" cy="28067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أثناء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البريطاني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1920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1948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واعتباره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بمثابة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لبريطانيا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الاتحاد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كانتون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الولاية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فلسطين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الإنجليزية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واعتبر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الإطلاق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البريطانية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أفريقيا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وآسيا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زرقاء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فالراية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شائع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أمريكا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الشمالية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وأوربا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يعتبروا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الانتداب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البريطاني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فلسطين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شعبي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الحكومية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لحكومة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الانتداب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الانتداب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البريطاني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1948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bidi w:val="1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uymmt0j45jou" w:id="8"/>
      <w:bookmarkEnd w:id="8"/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العلم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في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الأمم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المتحدة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11 </w:t>
      </w:r>
      <w:r w:rsidDel="00000000" w:rsidR="00000000" w:rsidRPr="00000000">
        <w:rPr>
          <w:rtl w:val="1"/>
        </w:rPr>
        <w:t xml:space="preserve">سبتمبر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2015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بإصدار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بالموافقة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فلسطين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نيويورك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التصويت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119 </w:t>
      </w:r>
      <w:r w:rsidDel="00000000" w:rsidR="00000000" w:rsidRPr="00000000">
        <w:rPr>
          <w:rtl w:val="1"/>
        </w:rPr>
        <w:t xml:space="preserve">دولة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45 </w:t>
      </w:r>
      <w:r w:rsidDel="00000000" w:rsidR="00000000" w:rsidRPr="00000000">
        <w:rPr>
          <w:rtl w:val="1"/>
        </w:rPr>
        <w:t xml:space="preserve">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امتنعوا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التصويت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عارضت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عددها</w:t>
      </w:r>
      <w:r w:rsidDel="00000000" w:rsidR="00000000" w:rsidRPr="00000000">
        <w:rPr>
          <w:rtl w:val="1"/>
        </w:rPr>
        <w:t xml:space="preserve"> 8 </w:t>
      </w:r>
      <w:r w:rsidDel="00000000" w:rsidR="00000000" w:rsidRPr="00000000">
        <w:rPr>
          <w:rtl w:val="1"/>
        </w:rPr>
        <w:t xml:space="preserve">وهم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bidi w:val="1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1"/>
        </w:rPr>
        <w:t xml:space="preserve">بالاو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bidi w:val="1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1"/>
        </w:rPr>
        <w:t xml:space="preserve">إسرائيل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1"/>
          <w:numId w:val="6"/>
        </w:numPr>
        <w:bidi w:val="1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1"/>
        </w:rPr>
        <w:t xml:space="preserve">أستراليا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bidi w:val="1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1"/>
        </w:rPr>
        <w:t xml:space="preserve">كندا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bidi w:val="1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1"/>
        </w:rPr>
        <w:t xml:space="preserve">الولايات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bidi w:val="1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1"/>
        </w:rPr>
        <w:t xml:space="preserve">توفالو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bidi w:val="1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1"/>
        </w:rPr>
        <w:t xml:space="preserve">جزر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مارشال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bidi w:val="1"/>
        <w:spacing w:after="240" w:before="0" w:beforeAutospacing="0" w:lineRule="auto"/>
        <w:ind w:left="1440" w:hanging="360"/>
      </w:pPr>
      <w:r w:rsidDel="00000000" w:rsidR="00000000" w:rsidRPr="00000000">
        <w:rPr>
          <w:rtl w:val="1"/>
        </w:rPr>
        <w:t xml:space="preserve">ولايات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ميكرونيسيا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المتحدة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pStyle w:val="Heading3"/>
        <w:keepNext w:val="0"/>
        <w:keepLines w:val="0"/>
        <w:bidi w:val="1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62p5zpsrirvj" w:id="9"/>
      <w:bookmarkEnd w:id="9"/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أماكن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أخرى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الحجاز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رفعت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فلسطين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توحيدها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1921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1926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إمارة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شرق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الأردن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تبنت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1921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1928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الاتحاد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الاندماجي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الاتحاد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1958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الاتحاد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الهاشمي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حزب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البعث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العربي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الاشتراكي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الحزب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1947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كعلامة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للقومية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xe2c61sfyj7" w:id="10"/>
      <w:bookmarkEnd w:id="10"/>
      <w:r w:rsidDel="00000000" w:rsidR="00000000" w:rsidRPr="00000000">
        <w:rPr>
          <w:b w:val="1"/>
          <w:sz w:val="34"/>
          <w:szCs w:val="34"/>
          <w:rtl w:val="1"/>
        </w:rPr>
        <w:t xml:space="preserve">كلمات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العلم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الفلسطيني</w:t>
      </w:r>
    </w:p>
    <w:p w:rsidR="00000000" w:rsidDel="00000000" w:rsidP="00000000" w:rsidRDefault="00000000" w:rsidRPr="00000000" w14:paraId="0000003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سنوضح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المدرسية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فلسطين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ترفرف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ينبغي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تحزني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الأعداء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فلسطين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ألوانه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الشهداء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يحمل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فلسطين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النكبات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والانتصارات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بمثابة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شعار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الفدائيون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الثورة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يرفرف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يتنفسه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نضحي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ونفيس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سيظل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مستفز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للأعداء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والمواجهة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5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rul6yc83beh4" w:id="11"/>
      <w:bookmarkEnd w:id="11"/>
      <w:r w:rsidDel="00000000" w:rsidR="00000000" w:rsidRPr="00000000">
        <w:rPr>
          <w:b w:val="1"/>
          <w:sz w:val="34"/>
          <w:szCs w:val="34"/>
          <w:rtl w:val="1"/>
        </w:rPr>
        <w:t xml:space="preserve">خاتمة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موضوع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العلم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الفلسطيني</w:t>
      </w:r>
    </w:p>
    <w:p w:rsidR="00000000" w:rsidDel="00000000" w:rsidP="00000000" w:rsidRDefault="00000000" w:rsidRPr="00000000" w14:paraId="0000004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الإسرائيلي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ببذل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الفلسطينيين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لدقائق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الأعداء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لحاجتهم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إنتمائهم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وقدرتهم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الاحتلال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